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268746-П/2013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Литвиненко Романа Александровича и Чегодаева Александра Вадимовича на нарушение их конституционных прав постановлениями Государственной Думы от 18 декабря 2013 года «Об объявлении амнистии в связи с 20-летием принятия Конституции Российской Федерации» и от 24 апреля 2015 года «Об объявлении амнистии в связи с 70-летием Победы в Великой Отечественной войне 1941– 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 Р.А.Литвиненко и А.В.Чегодаева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Принимаемое Государственной Думой решение об объявлении амнистии во всяком случае должно основываться на принципах правового государства и верховенства Конституции Российской Федерации, определяющих обязанности государства в области уголовно-правовой защиты провозглашенных конституционных ценностей, в том числе прав граждан, как при применении уголовной ответственности и наказания, так и при освобождении от них. Установление в рамках этих принципов конкретных оснований и пределов амнистирования лиц, совершивших преступления, относится к числу дискреционных полномочий самой Государственной Думы, которая, исходя из того, что Конституция Российской Федерации не гарантирует право быть амнистированным каждому, кто совершил преступление, вправе объявлять амнистию в отношении определенных категорий лиц и видов преступлений и предусматривать те правовые последствия амнистии, которые она сочтет целесообразными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Литвиненко Романа Александровича и Чегодаева Александра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