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268564-П/2017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Раднаева Тимура Владимировича на нарушение его конституционных прав частью 3 статьи 36 Федерального конституционного закона «О судах общей юрисдикции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Т.В.Раднаева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Реализация закрепленных Конституцией Российской Федерации прав каждого на законный суд и на судебную защиту регламентируется в 3 законодательстве о судоустройстве, устанавливающем полномочия, порядок образования и деятельности судов, а также в процессуальном законодательстве, определяющем правила подведомственности и подсудности дел. По смыслу оспариваемого законоположения, относящегося к нормам, регулирующим вопросы судоустройства в судах общей юрисдикции, в исключительных случаях, связанных с невозможностью замены временно отсутствующего судьи районного суда судьей этого же суда, исполнение его обязанностей возлагается на судью ближайшего районного суда. Такое регулирование, направленное на безусловное обеспечение указанных конституционных прав в ситуации, когда невозможно замещение отсутствующего судьи судьями того же суда, не может рассматриваться как нарушающее какие-либо права заявителя. Проверка же законности и обоснованности правоприменительных решений, в том числе решений о замене временно отсутствующего судьи районного суда судьей другого районного суда, к компетенции Конституционного Суда Российской Федерации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Раднаева Тимура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