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338350-П/2018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Славиной Ольги Александровны на нарушение ее конституционных прав статьями 198, 329 и 383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О.С.Хохряковой, В.Г.Ярославцева, рассмотрев вопрос о возможности принятия жалобы гражданки О.А.Славиной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198, 329 и 383 ГПК Российской Федерации, устанавливающие требования к содержанию постановлений, выносимых 3 судами первой, апелляционной и кассационной инстанций, прямо обязывают суд первой инстанции указать в мотивировочной части решения суда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 (часть четвертая статьи 198), а суды апелляционной и кассационной инстанций – указать в соответствующих судебных постановлениях, в частности, мотивы, по которым они пришли к своим выводам (пункт 6 части второй статьи 329, пункт 5 статьи 383). Тем самым оспариваемые законоположения закрепляют одну из фундаментальных процессуальных гарантий реализации права на судебную защиту – мотивированность судебного постановления, а потому не могут рассматриваться как нарушающие конституционные права заявительницы, перечисленные в жалобе. Проверка же законности и обоснованности судебных постановлений, в частности с точки зрения правильности выбора норм, подлежащих применению в конкретном деле с участием заявительницы, а равно с точки зрения полноты изложения судебных актов,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Славиной Ольги Александровны,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