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413402-П/2019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Осиповой Светланы Николаевны на нарушение ее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С.Н.Осиповой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С.Н.Осипова оспаривает конституционность части второй статьи 61 ГПК Российской Федерации, согласно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2 Как следует из представленных материалов, суд первой инстанции в обоснование решения, вынесенного по делу с участием С.Н.Осиповой, ссылался на обстоятельства, ранее установленные решением суда, принятым по делу, к участию в рассмотрении которого заявительница не привлекалась. По мнению заявительницы, оспариваемое законоположение по смыслу, придаваемому ему правоприменительной практикой, противоречит Конституции Российской Федерации, ее статьям 46 (часть 1), 55 (часть 2), 120 (часть 1) и 123 (часть 3), поскольку позволяет суду признать имеющими преюдициальное значение обстоятельства, которые судом в связи с признанием иска в полной мере не устанавливались, и правовую оценку, данную судом фактическим обстоятельствам дела, и не допускает оспаривание заинтересованным лицом в другом деле обстоятельств, установленных вступившим в законную силу судебным постановлением, вынесенным по ранее рассмотренному делу, к участию в котором это лицо привлечено не было.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Осиповой Светланы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