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322151-П/2018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Болявина Андрея Петровича на нарушение его конституционных прав пунктом 3 части первой статьи 3, статьями 96 и 97 Федерального конституционного закона «О Конституционном Суде Российской Федерации», а также рядом актов органов местного самоуправления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А.П.Болявина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(часть 4) Конституции Российской Федерации и корреспондирующие ей нормы пункта 3 части первой статьи 3, статей 96 и 97 Федерального конституционного закона «О Конституционном Суде Российской Федерации» не относят к компетенции Конституционного Суда Российской Федерации проверку по жалобам граждан правовых актов органов местного самоуправления. Поэтому жалоба заявителя в части оспаривания таких актов не может быть признана допустимой. Что же касается самих положений пункта 3 части первой статьи 3, статей 96 и 97 Федерального конституционного закона «О Конституционном Суде Российской Федерации», то они лишь воспроизводят и конкретизируют указанную конституционную норму, а поэтому не могут рассматриваться как нарушающие конституционные права заявителя.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Болявина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