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267659-П/2017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«Лермонтовское» на нарушение конституционных прав и свобод частью 1 статьи 4.11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АО «Лермонтовское»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Кодекс Российской Федерации об административных правонарушениях, установив виды административных наказаний и правила их назначения, предусмотрел возможность замены административного наказания в виде административного штрафа предупреждением (статья 4.11). Одним из условий осуществления указанной замены является отсутствие причинения вреда или возникновения угрозы причинения вреда жизни и здоровью людей (часть 2 статьи 3.4 и часть 1 статьи 4.11). Между тем, как следует из представленных материалов, одно из административных правонарушений, совершенных заявителем, угрожало причинением вреда жизни и здоровью людей, а другое – повлекло причинение такого вреда. Данные обстоятельства во всяком случае исключают возможность замены административного штрафа предупреждением независимо от того, отнесено ли лицо, привлекаемое к административной ответственности, к числу субъектов малого и среднего предпринимательства. Поэтому оспариваемое законоположение не может рассматриваться как нарушающее конституционные права заявителя в указанном им аспекте в его конкретном деле.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«Лермонтовское»,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