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442737-П/2019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Экова Дениса Александровича на нарушение его конституционных прав частью второй статьи 136 Уголовно-процессуального кодекса Российской Федерации и пунктом 2 статьи 1101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Д.А.Экова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Д.А.Экова, обвиняемого в совершении преступлений, постановлением следователя прекращено уголовное преследование по одному из инкриминируемых деяний в связи с непричастностью к его совершению с одновременным признанием права на реабилитацию в данной части. Решением суда общей юрисдикции, оставленным без изменения судом апелляционной инстанции, требование 2 Д.А.Экова о компенсации морального вреда, причиненного необоснованным уголовным преследованием, удовлетворено частично. В связи с этим заявитель просит признать не соответствующими статьям 6 (часть 2), 18, 21 (часть 1), 22 (часть 1), 49 и 53 Конституции Российской Федерации часть вторую статьи 136 «Возмещение морального вреда» УПК Российской Федерации и пункт 2 статьи 1101 «Способ и размер компенсации морального вреда» ГК Российской Федерации, поскольку, по его мнению, данные нормы в силу их неопределенности допускают произвольное определение судом размера подлежащей взысканию компенсации морального вреда.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на возмещение государством вреда, причиненного незаконными действиями (бездействием) органов государственной власти и их должностных лиц при осуществлении уголовного судопроизводства, установлено в главе 18 УПК Российской Федерации, статьей 136 которой предусмотрено, что иски о компенсации за причиненный моральный вред в денежном выражении предъявляются в порядке гражданского судопроизводства (часть вторая). При этом основания, способ и размер компенсации морального вреда положения данной статьи не регулируют. В свою очередь, гражданское законодательство, предусматривая в качестве способа защиты гражданских прав компенсацию морального вреда, устанавливает общие принципы для определения размера такой компенсации (статьи 151 и 1101 ГК Российской Федерации). Суд, определяя размер компенсации морального вреда по основаниям, предусмотренным статьей 1100 ГК Российской Федерации, в совокупности оценивает конкретные незаконные действия причинителя вреда, соотнося их с тяжестью причиненных потерпевшему физических и нравственных страданий и индивидуальными особенностями его личности, а также учитывает требования разумности и справедливости (определения Конституционного 3 Суда Российской Федерации от 15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Экова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