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274908-П/2017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Дейкун Светланы Степановны на нарушение ее конституционных прав частью 3 статьи 1 и частями 1 и 2 статьи 4 Федерального конституционного закона «О судебной системе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по требованию гражданки С.С.Дейкун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Указанный срок, выступая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Дейкун Светланы Степановны,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