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статьям 2, 4, 6, 15, 17–19, 46, 47, 52, 53 и 71 Конституции Российской Федерации часть четвертую статьи 7 «Законность при производстве по уголовному делу», часть четвертую статьи 11 «Охрана прав и свобод человека и гражданина в уголовном судопроизводстве», статью 125 «Судебный порядок рассмотрения жалоб», часть первую статьи 38922 «Отмена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2 прокурору», статью 38928 «Апелляционные приговор, определение и постановление», пункт 1 части второй статьи 40110 «Действия суда кассационной инстанции при поступлении кассационных жалобы, представления», статью 40111 «Решения судьи суда кассационной инстанции, принимаемые им по результатам рассмотрения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Как следует из представленных документов, постановлением краевого суда отменено постановление районного суда, которым поданная в порядке статьи 125 УПК Российской Федерации жалоба Э.А.Гусейнова о признании незаконным постановления об отказе в возбуждении уголовного дела возвращена для устранения недостатков; материал направлен в тот же суд иному судье. По мнению заявителя, данные нормы позволили суду апелляционной инстанции не возместить ему вред, причиненный недобросовестными действиями районного суда, и не признать за ним право на возмещение такого вреда.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