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510805-П/2020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Мустафина Рунара Раисовича на нарушение его конституционных прав частью первой статьи 100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Р.Р.Мустафина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Шестого кассационного суда общей юрисдикции от 29 октября 2020 года отказано в передаче для рассмотрения в судебном заседании суда кассационной инстанции жалобы, поданной в интересах гражданина Р.Р.Мустафина, об оспаривании судебного постановления, которым в отношении него избрана мера пресечения в виде домашнего ареста, оставленная судом апелляционной инстанции без изменения. При этом отмечено, что само по себе непредъявление обвинения подозреваемому Р.Р.Мустафину в предусмотренный частью первой статьи 100 «Избрание меры пресечения в отношении подозреваемого» УПК Российской Федерации десятидневный срок с момента применения меры пресечения не влияет на 2 законность постановления об ее избрании, поскольку фактически эта мера прекратила свое действие по истечении указанного срока. В этой связи Р.Р.Мустафин просит признать названную норму не соответствующей Конституции Российской Федерации, в том числе ее статье 22 (часть 1), поскольку, по его утверждению, она позволяет суду апелляционной инстанции оставлять в силе решение суда об избрании подозреваемому меры пресечения в виде домашнего ареста, несмотря на истечение к моменту апелляционного рассмотрения данного вопроса десятидневного срока для предъявления органами предварительного расследования обвинения. Кроме того, заявитель просит отменить принятые по его делу судебные решения, касающиеся вопроса о мере пресечения.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первой статьи 100 УПК Российской Федерации при избрании меры пресечения в отношении подозреваемого обвинение должно быть предъявлено ему не позднее десяти суток с момента применения меры пресечения, а если он был задержан, а затем заключен под стражу – в тот же срок с момента задержания; если в этот срок обвинение не будет предъявлено, то мера пресечения немедленно отменяется, за исключением случаев, предусмотренных частью второй той же статьи. Данная норма, прямо предусматривая отмену меры пресечения при непредъявлении обвинения в установленный срок, не может расцениваться как нарушающая права заявителя в указанном им аспекте. Обращенное к Конституционному Суду Российской Федерации требование, а также приведенные Р.Р.Мустафиным в обоснование своей позиции доводы свидетельствуют о том, что нарушение своих конституционных прав он связывает не с содержанием оспариваемой нормы, а с принятыми по его делу решениями судов общей юрисдикции, с которыми он выражает несогласие. Тем самым фактически заявитель предлагает дать оценку принятым по его уголовному делу правоприменительным решениям, что, однако, не входит в 3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Мустафина Рунара Раисовича,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