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Леготкина Владимира Викторовича на нарушение его конституционных прав статьями 144 и 145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В.В.Леготкина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В.В.Леготкина жалобы об оспаривании вынесенных в отношении него приговора и апелляционного определения. Соглашаясь с данным постановлением, заместитель Председателя этого Суда в своем решении от 12 сентября 2019 года отметил, что доводы осужденного и свидетеля Л. о применении к ним 2 недозволенных методов ведения следствия проверялись судом первой инстанции, в том числе с учетом результатов проведенной по делу в порядке статей 144–145 УПК Российской Федерации проверки, однако не нашли своего подтверждения в судебном заседании, в связи с чем признаны не состоятельными. В.В.Леготкин утверждает, что статьи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 не соответствуют статьям 2, 6 (часть 2), 15 (части 1 и 2), 17 (части 1 и 2), 18, 19 (части 1 и 2), 21, 22 (часть 1), 23 (часть 1), 25, 45 (часть 1), 46, 48, 49, 50 (часть 2), 52, 55 (части 1 и 2) и 123 (часть 3) Конституции Российской Федерации, поскольку позволяют органу предварительного расследования незаконно отказывать в возбуждении уголовного дела в отношении сотрудников правоохранительных органов, совершивших преступление против правосудия, а суду – соглашаться с такими решениями.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а основанием – наличие достаточных данных, указывающих на признаки преступления (пункт 43 статьи 5 и статьи 140– 143). Этот Кодекс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решение о возбуждении уголовного дела, либо об отказе в возбуждении уголовного дела, либо о передаче сообщения по подследственности, а по уголовным делам частного обвинения – в суд (часть первая статьи 144 и часть первая статьи 145). 3 Приведенные законоположения неопределенности не содержат и не могут расцениваться как нарушающие конституционные права В.В.Леготкина в указанном им аспекте. Проверка же того, содержались ли в его сообщении, адресованном следственному органу, данные, указывающие на признаки преступления, предполагает исследование фактических обстоятельств и не относится к полномочиям Конституционного Суда Российской Федерации, закрепленным статьей 125 Конституции Российской Федерации и статьей 3 Федерального конституционного закона «О Конституционном Суде Российской Федерации». Таким образом, жалоба В.В.Леготкина,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Леготкина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