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343768-П/2018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статьями 285 и 286 Уголовного кодекса Российской Федерации, рядом норм Уголовно-процессуального кодекса Российской Федерации, статьей 771 Уголовно- исполнительного кодекса Российской Федерации и статьей 28 Федерального закона «О содержании под стражей подозреваемых и обвиняемых в совершении преступлений»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Э.А.Гусейнова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Доводы, приведенные в жалобе Э.А.Гусейнова, свидетельствуют о том, что, формально оспаривая конституционность норм Уголовного кодекса Российской Федерации, Уголовно-процессуального кодекса Российской 3 Федерации, Уголовно-исполнительного кодекса Российской Федерации и Федерального закона «О содержании под стражей подозреваемых и обвиняемых в совершении преступлений», он предлагает Конституционному Суду Российской Федерации оценить обоснованность и правильность вынесенных по его делу правоприменительных решений. Между тем разрешение такого рода вопросов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