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второй статьи 40110, частью первой статьи 40111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положениям статей 1, 2, 6, 15, 18, 45, 46, 47, 55, 56 и 125 Конституции Российской Федерации пункт 1 части второй статьи 40110 «Действия суда кассационной инстанции при поступлении кассационных жалобы, представления», часть первую статьи 40111 «Решения судьи суда кассационной инстанции, принимаемые им по результатам рассмотрения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с 2 учетом Определения Конституционного Суда Российской Федерации от 30 июня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Вопрос о проверке конституционности пункта 1 части второй статьи 40110 и части первой статьи 40115 УПК Российской Федерации наряду с другими положениями данного Кодекса уже ставился Э.А.Гусейновым в его предыдущих жалобах,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