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334028-П/2018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Левина Игоря Хемовича на нарушение его конституционных прав пунктами 1, 8 и 9 статьи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И.Х.Левина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гражданину И.Х.Левину было отказано в удовлетворении исковых требований о защите чести, достоинства и деловой репутации, компенсации морального вреда, поскольку требования были предъявлены к ненадлежащему ответчику, а действия, с которыми истец связывал причинение ему нравственных страданий, имели место до введения в действие Основ гражданского законодательства Союза ССР и республик, предусматривающих возможность денежной компенсации морального вреда.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152 ГК Российской Федерации о праве гражданина требовать по суду опровержения порочащих его честь, достоинство и деловую репутацию сведений, если распространивший такие сведения не докажет, что они соответствуют действительности, частично воспроизводящий примененную в деле заявителя статью 7 «Защита чести и достоинства» ГК РСФСР, определяя порядок реализации конституционного права на защиту чести и доброго имени (статья 23, часть 1, Конституции Российской Федерации), направлен на осуществление конституционной обязанности государства охранять достоинство личности (статья 21, часть 1) как необходимую предпосылку и основу всех других неотчуждаемых прав и свобод человека, условие их признания и соблюдения (Постановление Конституционного Суда Российской Федерации от 9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Левина Игоря Хемовича, поскольку жалоба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