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459440-П/2020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Крюка Михаила Максимовича на нарушение его конституционных прав статьей 70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М.М.Крюка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краевого суда от 9 декабря 2009 года гражданин М.М.Крюк признан виновным в совершении двух преступлений и ему назначено наказание в виде 15 лет лишения свободы. Как следует из представленных им материалов, после оглашения приговора он в тот же день совершил побег из-под стражи, т.е. новое преступление, предусмотренное частью первой статьи 313 УК Российской Федерации, за что был осужден приговором районного суда от 3 марта 2010 года с назначением окончательного наказания по правилам совокупности приговоров в виде лишения свободы на срок 17 лет. 2 Утверждая, что при вынесении второго приговора суд неправомерно – в нарушение презумпции невиновности и требований инстанционности уголовного судопроизводства – учел наказание, назначенное по первому приговору, еще не вступившему на тот момент в законную силу и оставленному без изменения по результатам производства в суде второй инстанции лишь 11 марта 2010 года, М.М.Крюк оспорил приговор от 3 марта 2010 года в кассационном порядке. Постановлением судьи Верховного Суда Российской Федерации от 10 апреля 2019 года, с которым, в свою очередь, согласился заместитель Председателя того же суда (решение от 27 июня 2019 года), в передаче кассационной жалобы для рассмотрения в судебном заседании суда кассационной инстанции отказано. В этой связи М.М.Крюк просит признать не соответствующей статьям 21 (часть 1), 46 (часть 1), 47 (часть 1) и 49 (части 1 и 3) Конституции Российской Федерации статью 70 «Назначение наказания по совокупности приговоров» УК Российской Федерации, как позволяющую суду при назначении наказания по совокупности приговоров к наказанию, назначенному по последнему приговору, присоединять неотбытую часть наказания по предыдущему приговору, который на тот момент еще не вступил в законную силу, т.е., по мнению заявителя, фактически подменять суд вышестоящей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70 УК Российской Федерации, регулирующая назначение наказания по совокупности приговоров, основывается на конституционных принципах справедливости и соразмерности ответственности защищаемым законодательством ценностям и предполагает дифференциацию публично – правовой ответственности с учетом наказания, которое ранее было назначено приговором суда, но не исполнено (определения Конституционного Суда Российской Федерации от 16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Крюка Михаила Максимовича,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