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236593-П/2016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Радченко Виталия Анатольевича на нарушение его конституционных прав пунктом 1 приложения 3 к Постановлению Верховного Совета Российской Федерации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В.А.Радченко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постановлением арбитражного суда кассационной инстанции, было отменено решение арбитражного суда первой инстанции и удовлетворены исковые требования Территориального управления Федерального агентства по управлению государственным 2 имуществом в городе Москве к хозяйственному обществу о признании права собственности Российской Федерации на здание общежития и его истребовании из чужого незаконного владения. Судами было установлено, что спорное жилое здание является собственностью Российской Федерации в силу Постановления Верховного Совета Российской Федерации от 27 декабря 1991 года № 3020-I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собственность»; поскольку спорный объект не выбывал из собственности Российской Федерации, то все последующие сделки по отчуждению спорного недвижимого имущества и государственная регистрация перехода права собственности на это имущество являются ничтожными сделками, а право собственности у приобретателей по этим договорам не могло возникнуть на законных основаниях.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Радченко Виталия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