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500915-П/2020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«Сургутпромавтоматика» на нарушение конституционных прав и свобод абзацем первым пункта 4 статьи 421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«Сургутпромавтоматика»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оставленным без изменения постановлением суда апелляционной инстанции, были удовлетворены исковые требования акционерного общества (лизингодатель) к ООО «Сургутпромавтоматика» (лизингополучатель) о взыскании задолженности по договорам лизинга. При этом суды, руководствуясь условиями заключенных договоров лизинга, исходили, в частности, из того, что включение упущенной выгоды в расчет сальдо не противоречит данным условиям договоров лизинга и согласуется с нормами Гражданского кодекса Российской Федерации. 2 ООО «Сургутпромавтоматика» оспаривает конституционность абзаца первого пункта 4 статьи 421 ГК Российской Федерации, согласно которому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(статья 422). По мнению заявителя, данное законоположение противоречит статьям 17 (часть 3), 19 (часть 1) и 46 (часть 1) Конституции Российской Федерации в той мере, в какой оно позволяет лизингодателю взыскивать с лизингополучателя упущенную выгоду, представляющую собой неполученные лизинговые платежи, в случае расторжения договора выкупного лизинга.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«Сургутпромавтоматика»,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