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398078-П/2019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 и частью 2 статьи 11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соответствие статьям 4 (части 1 и 2), 15 (часть 1), 21 (часть 1), 46 (части 1 и 2), 47 (часть 1), 48, 49 (часть 1), 52, 67 (часть 1), 76 (часть 3) и 125 (часть 6) Конституции Российской Федерации следующих нормативных положений: статей 125 «Судебный порядок рассмотрения жалоб» и 144 «Порядок рассмотрения сообщения о преступлении» УПК Российской Федерации, 2 поскольку по смыслу, придаваемому им пунктом 7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Федерации», они позволили суду возвратить заявителю жалобу на отказ в принятии сообщения о преступлении ввиду необходимости представления сведений, которые судья, как утверждает заявитель, не пожелал установить самостоятельно – исходя из содержания его жалобы; статей 38913 «Порядок рассмотрения уголовного дела судом апелляционной инстанции», 38920 «Решения, принимаемые судом апелляционной инстанции» и 38928 «Апелляционные приговор, определение и постановление» УПК Российской Федерации, как позволивших суду апелляционной инстанции отклонить ходатайства Э.А.Гусейнова об обеспечении его участия, а также участия защитника по назначению суда в заседании; части 2 статьи 11 Федерального закона от 2 мая 2006 года № 59-ФЗ «О порядке рассмотрения обращений граждан Российской Федерации», а также статей 144 и 145 «Решения, принимаемые по результатам рассмотрения сообщения о преступлении» УПК Российской Федерации, поскольку по смыслу, придаваемому им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72), они позволили руководителю отдела следственного управления возвратить заявителю сообщение о преступлении, предварительно создав условия для этого возвращения.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Э.А.Гусейновым нормы, соответственно предписывающие должностному лицу, указанному в пункте 5 статьи 4 Федерального закона «О порядке рассмотрения обращений граждан Российской Федерации», при получении письменного обращения, в котором обжалуется судебное решение, вернуть данное обращение в кратчайший срок и разъяснить гражданину порядок обжалования судебного решения, а также регламентирующие порядок осуществления процессуальных действий в рамках уголовного судопроизводства и механизмы защиты интересов участвующих в нем лиц, не содержат положений, допускающих их произвольное применение, направлены на защиту прав граждан, а не на их ограничение, и, следовательно, не могут расцениваться как нарушающие конституционные права заявителя. Аргументируя свою позицию лишь ссылками на обстоятельства производства по его уголовному делу, заявитель фактически ставит перед Конституционным Судом Российской Федерации вопросы о проверке и оценке действий и решений правоприменителей, разрешение которых не относится к компетенции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