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393931-П/2019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Чудина Вячеслава Вячеславовича на нарушение его конституционных прав статьей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В.В.Чудина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Положения статьи 152 ГК Российской Федерации, устанавливающие гражданско-правовые способы защиты чести, достоинства и деловой репутации и определяющие − путем закрепления права гражданина требовать по суду опровержения порочащих сведений, если распространивший их не докажет, что они соответствуют действительности (пункт 1), – порядок реализации конституционного права на защиту чести и доброго имени (статья 23, часть 1, Конституции Российской Федерации), направлены на осуществление конституционной обязанности государства охранять достоинство личности (статья 21, часть 1, Конституции Российской Федерации) как необходимую предпосылку и основу всех других неотчуждаемых прав и свобод человека, условие их признания и соблюдения (Постановление Конституционного Суда Российской Федерации от 9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Чудина Вячеслава Вячеславовича,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