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300340-П/2017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Скрылева Александра Витальевича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А.В.Скрылева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положения статей 15, 16, 50, 151, 193, 195, 198 и 283 УПК Российской Федерации, определяющих содержание принципов состязательности сторон в уголовном судопроизводстве и обеспечения подозреваемому, обвиняемому права на защиту, регламентирующих порядок приглашения, назначения и замены защитника, оплаты его труда, порядок предъявления для опознания, назначения и производства судебной экспертизы, а также закрепляющих права подозреваемого, обвиняемого, потерпевшего, свидетеля при назначении и производстве судебной экспертизы, направлены на защиту и обеспечение прав участников уголовного судопроизводства и не предполагают своего произвольного применения. Как следует из жалобы, нарушение своих прав А.В.Скрылев связывает с имеющимися, по его утверждению, фактами неприменения либо ненадлежащего применения данных норм в его деле. Тем самым, по 3 существу, заявитель предлагает Конституционному Суду Российской Федерации проверить не само содержание оспариваемых законоположений, а правомерность вынесенных в его отношении конкретных правоприменительных решений, что между тем предполагает исследование обстоятельств конкретного уголовного дела и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Федерации», не входит.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Скрылева Александра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