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450980-П/2019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Романовой Инны Дмитриевны на нарушение ее конституционных прав пунктами 1 и 2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И.Д.Романовой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И.Д.Романова, заявление которой о пересмотре вынесенного ранее по делу с ее участием решения суда по вновь открывшимся обстоятельствам оставлено судом без удовлетворения, оспаривает конституционность пунктов 1 и 2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2 По мнению заявительницы, данные нормы не соответствуют статьям 15 (часть 1), 18, 19 (части 1 и 2), 46 (часть 1), 96 и 123 (часть 3) Конституции Российской Федерации, поскольку препятствуют пересмотру судебного постановления по вновь открывшимся обстоятельствам в случае, если такие обстоятельства отражены в постановлении органа следствия о прекращении уголовного дела за истечением сроков давности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Романовой Инны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