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343503-П/2018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Славского Валерия Владимировича на нарушение его конституционных прав пунктом 5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В.В.Славского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статьи 40110 УПК Российской Федерации прямо предписывает, что постановление судьи об отказе в передаче кассационных жалобы, представления для рассмотрения в судебном заседании суда кассационной инстанции должно, помимо прочего, содержать мотивы, по которым отказано в такой передаче. Аналогичное положение закреплено и в пункте 13 постановления Пленума Верховного Суда Российской Федерации от 28 января 2014 года № 2 «О применении норм главы 471 Уголовно- процессуального кодекса Российской Федерации, регулирующих производство в суде кассационной инстанции». При этом, как неоднократно отмечал Конституционный Суд Российской Федерации, статья 40110 УПК Российской Федерации, применяемая в нормативном единстве с частью четвертой статьи 7 того же Кодекса, согласно которой, в частности, определения суда, постановления судьи должны быть законными, обоснованными и мотивированными, не допускает отказ суда от рассмотрения и оценки всех доводов кассационной жалобы, а также от мотивировки своих решений путем указания на конкретные, достаточные с точки зрения принципа разумности основания, по которым эти доводы отвергаются (определения от 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Славского Валерия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