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371245-П/2018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Басковой Светланы Олеговны на нарушение ее конституционных прав рядом норм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С.О.Басковой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С.О.Басковой в обоснование своей позиции, свидетельствуют о том, что нарушение своих конституционных прав она связывает не с содержанием оспариваемых норм, которые не предполагают их произвольного применения и во взаимосвязи с иными предписаниями Гражданского процессуального кодекса Российской Федерации направлены на достижение задач гражданского судопроизводства по правильному и своевременному рассмотрению и разрешению гражданских дел, а с принятыми по ее делу постановлениями судов общей юрисдикции, с которыми она фактически выражает несогласие. Между тем проверка законности и обоснованности судебных постановлений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Басковой Светланы Олеговны,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