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431141-П/2019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Бурдовой Ольги Александровны на нарушение ее конституционных прав пунктом 15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О.А.Бурдовой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О.А.Бурдова оспаривает конституционность пункта 15 части первой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которым установлены размеры ежемесячных денежных компенсаций в возмещение вреда здоровью, дифференцированные в зависимости от группы инвалидности. Как следует из материалов жалобы, заявительнице как вдове инвалида вследствие чернобыльской катастрофы, находившейся на его иждивении, была установлена ежемесячная денежная компенсация в возмещение вреда, 2 причиненного смертью кормильца, составляющая 50 процентов размера ежемесячной денежной компенсации, полагающегося инвалиду II группы. Суды общей юрисдикции оставили без удовлетворения ее требования о перерасчете установленной выплаты исходя из размера ежемесячной денежной компенсации, исчисленного из среднего заработка умершего, которую он получал при жизни, с учетом выплачивавшейся ему ежемесячной денежной компенсации на приобретение продовольственных товаров. По мнению заявительницы, оспариваемая норма вступает в противоречие со статьями 2, 7, 15, 18, 19, 39, 42, 45, 46 и 55 Конституции Российской Федерации, а также Постановлением Конституционного Суда Российской Федерации от 19 июня 2002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Бурдовой Ольги Александровны,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