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448186-П/2019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пунктом 3 части 1 и частью 3 статьи 128, частью 1 статьи 222, а также статьями 315 и 316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конституционность пункта 3 части 1 и части 3 статьи 128 «Отказ в принятии административного искового заявления», части 1 статьи 222 «Рассмотрение судом вопроса о принятии к производству суда административного искового заявления о признании незаконными решений, действий (бездействия) органа, организации, лица, наделенных государственными или иными публичными полномочиями», статей 315 «Порядок подачи и рассмотрения частной жалобы, представления прокурора» и 316 «Полномочия суда апелляционной инстанции при 2 рассмотрении частной жалобы, представления прокурора» КАС Российской Федерации. Как следует из представленных материалов, Э.А.Гусейнов обратился в суд общей юрисдикции с административным исковым заявлением о признании Правил внутреннего распорядка Железнодорожного районного суда города Барнаула не соответствующими Типовым правилам внутреннего распорядка судов (утверждены постановлением Совета судей Российской Федерации от 18 апреля 2003 года № 101) и о возложении на председателя указанного районного суда обязанности утвердить новые Правила внутреннего распорядка. Определением суда, оставленным без изменения судом апелляционной инстанции, заявителю было отказано в принятии административного искового заявления, поскольку суд установил, что фактически требования Э.А.Гусейнова сводятся к несогласию с процессуальными действиями судьи при рассмотрении уголовного дела и пришел к выводу об отсутствии нарушения оспариваемым правовым актом прав заявителя. По мнению Э.А.Гусейнова, названные положения Кодекса административного судопроизводства Российской Федерации не соответствуют статьям 18, 45, 46 (части 1 и 2), 49 (часть 1), 52 и 118 (часть 1) Конституции Российской Федерации, поскольку позволяют судам необоснованно отказывать в принятии административных исковых заявлений об оспаривании правил внутреннего распорядка суда.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