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350456-П/2018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Вопросы обязательности решений Конституционного Суда Российской Федерации и их юридической силы регламентированы статьями 6 и 79 Федерального конституционного закона «О Конституционном Суде Российской Федерации» и тем самым не являются предметом регулирования Уголовно-процессуального кодекса Российской Федерации. Как следует из жалобы, доводы, приведенные Э.А.Гусейновым, а также заявленные им требования свидетельствуют о том, что, формально ставя вопрос о конституционности ряда норм уголовно-процессуального закона, он, по существу, предлагает Конституционному Суду Российской Федерации оценить правомерность вынесенных по его конкретному делу правоприменительных решений, в том числе с учетом правовых позиций Конституционного Суда Российской Федерации. Однако такая оценка 3 предполагает исследование обстоятельств этого дела и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