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370739-П/2018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Рябового Павла Васильевича на нарушение его конституционных прав абзацем вторым части второй статьи 39112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П.В.Рябового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части второй статьи 39112 ГПК Российской Федерации в системной связи с другими положениями главы 411 данного Кодекса являются конкретной формой реализации установленной законодательством возможности исправления по жалобам заинтересованных лиц судебной ошибки, вследствие которой вынесено судебное постановление, нарушающее права и свободы человека и гражданина, гарантированные Конституцией Российской Федерации, общепризнанными принципами и нормами международного права, международными договорами Российской Федерации, либо права и законные интересы неопределенного круга лиц или иные публичные интересы, либо единообразие в толковании и применении судами норм права. Следовательно, само по себе названное законоположение, предоставляющее дополнительную гарантию защиты прав участников гражданского судопроизводства, не может расцениваться как нарушающее конституционные права заявителя, перечисленные в жалобе. 3 Определение же наличия (или отсутствия) оснований для пересмотра вынесенных по конкретному делу судебных постановлений осуществляется соответствующим судом надзорной инстанции, который – исходя из предписаний статьи 3919 ГПК Российской Федерации – должен установить, являются ли обстоятельства, приведенные в надзорной жалобе в качестве оснований для отмены или изменения судебных постановлений, достаточными для отступления от принципа правовой определенности и стабильности вступивших в законную силу судебных актов, а их отмена (изменение) и ее правовые последствия – соразмерными допущенным нарушениям норм материального и (или) процессуального права. Кроме того, вопреки требованиям статей 96 и 97 Федерального конституционного закона «О Конституционном Суде Российской Федерации» представленными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Рябового Павла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