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268253-П/2017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Хворостянского Виталия Ивановича на нарушение его конституционных прав частью второй статьи 50 и пунктом 1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В.И.Хворостянского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50 и 51 УПК Российской Федерации, закрепляющие порядок приглашения, назначения и замены защитника, оплаты его труда, а также случаи его обязательного участия, носят гарантийный характер и направлены на обеспечение конституционных прав граждан в сфере уголовного судопроизводства. При этом данные нормы сами по себе не регламентируют участие защитника в заседании суда второй инстанции, а положения Уголовно-процессуального кодекса Российской Федерации, определявшие порядок кассационного (главы 43 и 45) производства, утратили силу и согласно статье 4 этого Кодекса более применяться не могут (определения Конституционного Суда Российской Федерации от 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Хворостянского Виталия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