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3224-П/2020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Гусейнова Эльдара Афраиловича на нарушение его конституционных прав статьей 4011, пунктом 5 части первой статьи 4014 и пунктом 1 части первой статьи 4015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Э.А.Гусейнову, который в кассационной жалобе, поданной на вынесенное в порядке статьи 125 УПК Российской Федерации постановление городского суда и оставившее его без изменения апелляционное постановление краевого суда, указывал на существенные нарушения норм данного Кодекса, ссылаясь на принятое по его обращению Определение Конституционного Суда Российской Федерации от 28 ноября 2019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данного обращения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Гусейнова Эльдара Афраиловича,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