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281533-П/2017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Аверичева Александра Константиновича на нарушение его конституционных прав статьей 232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А.К.Аверичева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в том числе Гражданским процессуальным кодексом Российской Федерации. Оспариваемые заявителем положения статьи 232 ГПК Российской Федерации не препятствуют ему включить доводы о неправомерности определения судьи суда апелляционной инстанции об отклонении замечаний на протокол в кассационную жалобу на вынесенное по делу постановление этого суда. Эти доводы подлежат изучению судьей суда кассационной инстанции наравне с иными доводами кассационной жалобы; при наличии предусмотренных законом оснований для отмены или изменения обжалуемого судебного постановления судья обязан передать кассационную жалобу вместе с делом для рассмотрения в судебном заседании суда кассационной инстанции (статья 381 ГПК Российской Федерации). Таким образом, статья 232 ГПК Российской Федерации не может рассматриваться как нарушающая конституционное право заявителя на судебную защиту в его конкретном деле.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Аверичева Александра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