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244531-П/2016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общества с ограниченной ответственностью «Агрохимсервис» на нарушение конституционных прав и свобод пунктом 1 статьи 424 Гражданского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ООО «Агрохимсервис»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Пункт 1 статьи 424 ГК Российской Федерации как в ранее действовавшей, так и в действующей редакции, предусматривающий свободу сторон в определении цены договора и закрепляющий правило о применении в предусмотренных законом случаях цен (тарифов, расценок, ставок и т.п.), устанавливаемых или регулируемых уполномоченными на то государственными органами и (или) органами местного самоуправления, сам по себе не может расцениваться как нарушающий конституционные права заявителя. 3 Проверка же правильности исчисления размера арендной платы по договору аренды лесного участка, связанная с установлением и исследованием фактических обстоятельств, а также с выбором правовых норм, подлежащих применению в конкретном деле, не относится к компетенции Конституционного Суда Российской Федерации, закрепленной в статье 125 Конституции Российской Федерации и статье 3 Федерального конституционного закона «О Конституционном Суде Российской Федерации». Исходя из изложенного и руководствуясь пунктом 2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общества с ограниченной ответственностью «Агрохимсервис»,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