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265334-П/2017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Дмитрия Борисовича на нарушение его конституционных прав статьей 38924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Д.Б.Козлова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16 декабря 2014 года частично удовлетворено ходатайство гражданина Д.Б.Козлова о зачете времени содержания его под стражей и исчислении срока наказания по приговору от 21 декабря 2005 года с 23 октября 2002 года, а не с 26 октября 2002 года, как было определено судом в приговоре от 7 октября 2014 года по его уголовному делу. Суд апелляционной инстанции, оставляя указанное постановление без изменения, в определении от 13 февраля 2015 года отметил, что исчисление срока наказания с 23 октября 2002 года ухудшило бы положение осужденного, а требуемое статьей 38924 2 УПК Российской Федерации апелляционное представление прокурора отсутствует. С данным решением согласились судьи судов кассационной инстанции, отказывая в передаче кассационных жалоб для рассмотрения в судебных заседаниях своих судов (постановления судьи областного суда от 17 марта 2015 года и судьи Верховного Суда Российской Федерации от 29 августа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