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357899-П/2018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пунктом 8 части второй статьи 131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Как следует из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