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364189-П/2018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Оспариваемые Э.А.Гусейновым нормы, регламентируя порядок осуществления процессуальных действий и механизмы защиты интересов участвующих в производстве по уголовному делу лиц, не содержат неопределенности, вследствие которой допускалось бы их произвольное применение, в связи с чем не могут расцениваться как нарушающие конституционные права заявителя. Как следует из жалобы, заявитель, вопреки требованию пункта 8 части второй статьи 37 Федерального конституционного закона «О Конституционном Суде Российской Федерации», не приводит правового обоснования неконституционности оспариваемых норм, а аргументирует свою позицию лишь ссылками на обстоятельства производства по его уголовному делу и ставит перед Конституционным Судом Российской Федерации вопросы, разрешение которых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