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316550-П/2018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Старчаева Владимира Ивановича на нарушение его конституционных прав статьей 6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В.И.Старчаева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апелляционным определением суда апелляционной инстанции, было отказано в удовлетворении предъявленного гражданином В.И.Старчаевым к органу, осуществляющему государственную регистрацию прав на недвижимость, требования о восстановлении права собственности на жилое помещение на основании договора купли-продажи от 1993 года, о восстановлении положения, существовавшего до нарушения его права, и о пресечении действий по его нарушению. Суд первой инстанции указал, что в 2 2000 году судебным постановлением право собственности на спорное жилое помещение было признано за гражданкой К. на основании договора мены с В.И.Старчаевым и что право собственности В.И.Старчаева на это жилое помещение не может быть восстановлено на основании упомянутого договора купли-продажи. В передаче кассационной жалобы на данные судебные постановления для рассмотрения в судебном заседании Судебной коллегии по гражданским делам Верховного Суда Российской Федерации также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законодательства о признании ранее возникших прав на недвижимость, направленные в том числе на защиту имущественных прав, стабильность и предсказуемость гражданско-правового оборота недвижимости (Определение Конституционного Суда Российской Федерации от 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Старчаева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