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Федун Зухры Сагитовны на нарушение ее конституционных прав статьей 17 Гражданского процессуального кодекса Российской Федерации и пунктом 36 постановления Пленума Верховного Суда Российской Федерации «О применении судами норм гражданского процессуального законодательства, регламентирующих производство в суде апелляционной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З.С.Федун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к рассмотрению. Положения статьи 17 ГПК Российской Федерации, закрепляющие правило о недопустимости повторного участия судьи в рассмотрении одного и того же дела в судах различных инстанций, направленные на обеспечение справедливого и объективного правосудия, не могут рассматриваться как нарушающие конституционные права заявительницы, которая, как усматривается из апелляционного определения суда апелляционной инстанции, в обосновании заявленных ею отводов не ссылалась на повторное 3 участие судьи в рассмотрении одного и того же дела в судах различных инстанций; ее отвод не был мотивирован и не содержал указания на основания для отвода. В системной связи с пунктом 36 постановления Пленума Верховного Суда Российской Федерации «О применении судами норм гражданского процессуального законодательства, регламентирующих производство в суде апелляционной инстанции» данная статья также не может расцениваться как нарушающая конституционные права заявительницы по доводам, изложенным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Федун Зухры Сагитовны,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