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235644-П/2016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Козлени Николая Николаевича на нарушение его конституционных прав статьями 40117 и 4121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Н.Н.Козлени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Письмом судьи Верховного Суда Российской Федерации от 30 ноября 2015 года надзорная жалоба гражданина Н.Н.Козлени была возвращена без рассмотрения с указанием на то, что ранее законность оспариваемых вступивших в законную силу судебных решений уже была предметом проверки Верховного Суда Российской Федерации. Так, в удовлетворении предшествующей надзорной жалобы заявителя, в которой ставился вопрос о нарушении его права на получение квалифицированной юридической помощи в суде второй инстанции, было отказано постановлением судьи от 1 февраля 2010 года, с которым, в свою очередь, 2 согласился заместитель Председателя Верховного Суда Российской Федерации (решение от 13 октября 2010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4121 УПК Российской Федерации лишь закрепляет круг лиц, имеющих право на подачу надзорной жалобы (часть первая), предмет судебного разбирательства в надзорном порядке (часть вторая) и перечень обжалуемых судебных решений (часть третья) и не регулирует порядок возвращения такой жалобы без рассмотрения по существу. Что касается возможности подачи повторных и новых надзорных жалоб, то данный вопрос неоднократно ставился в жалобах, направляемых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Козлени Николая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