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281145-П/2017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Закриева Расула Абдулвадудовича на нарушение его конституционных прав частью второй статьи 50 и пунктами 1 и 5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Р.А.Закриева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Р.А.Закриева 18 мая 2006 года было рассмотрено в кассационном порядке в отсутствие защитника. В передаче его надзорных жалоб для рассмотрения в судебном заседании Президиума Верховного Суда Российской Федерации в связи с данным обстоятельством отказано постановлением судьи Верховного Суда Российской Федерации от 22 декабря 2016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Закриева Расула Абдулвадудовича,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