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262068-П/2017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«Демакс» на нарушение конституционных прав и свобод пунктом 5 части 1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ООО «Демакс»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Арбитражный процессуальный кодекс Российской Федерации. Пункт 5 части 1 статьи 150 указанного Кодекса, устанавливающий в качестве основания для прекращения производства по делу ликвидацию организации, являющейся стороной в деле, не может рассматриваться как нарушающий перечисленные в жалобе конституционные права и свободы заявителя в его конкретном деле, поскольку, как указано в определениях 3 Конституционного Суда Российской Федерации от 19 июня 2007 года № 430- О-О, от 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«Демакс»,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