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360057-П/2018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Кошецяна Андраника Грачяевича на нарушение его конституционных прав частью четвертой статьи 7 и частью первой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А.Г.Кошецяна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Утверждая о несоответствии Конституции Российской Федерации оспариваемых законоположений, заявитель, как следует из жалобы, аргументирует свою позицию о нарушении его конституционных прав, указывая, что в его деле не были учтены правовые позиции Конституционного Суда Российской Федерации и разъяснения Пленума Верховного Суда Российской Федерации по вопросу о проверке обоснованности подозрения лица, в отношении которого судом избирается заключение под стражу, и о мотивированности такого решения (в то время как из представленного им апелляционного постановления следует, что суд первой инстанции проверил наличие сведений, подтверждающих событие преступления и причастность А.Г.Кошецяна к его совершению). Тем самым заявитель, по сути, предлагает Конституционному Суду Российской Федерации проверить правильность казуального истолкования оспариваемых норм с учетом обстоятельств его дела, включая законность и обоснованность состоявшихся в нем правоприменительных решений, что, однако,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Кошецяна Андраника Грачяевича,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