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410105-П/2019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Рыбченко Алексея Владимировича на нарушение его конституционных прав статьей 195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А.В.Рыбченко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А.В.Рыбченко, в деле по иску которого суд указал, что действия А.В.Рыбченко, на протяжении 2 лет и 11 месяцев не предпринимавшего попыток вселиться в спорное жилое помещение, свидетельствуют о его согласии с выбытием доли в праве собственности из его владения и что истец не предъявлял требований о признании недействительными выдачи доверенности и договора купли-продажи жилого помещения, оспаривает конституционность статьи 195 ГК Российской Федерации, согласно которой исковой давностью признается срок для защиты права по иску лица, право которого нарушено. По мнению заявителя, оспариваемая норма противоречит статьям 8 (часть 2), 19 (части 1 и 2), 35 (части 1 и 2), 40 (часть 1) и 55 (часть 3) 2 Конституции Российской Федерации, поскольку по смыслу, придаваемому ей правоприменительной практикой, она позволяет отказывать в защите нарушенного права в зависимости от того, в какой момент до истечения срока исковой давности предъявлен иск, и признавать, что лицо, обратившееся с требованием о защите своего права в пределах этого срока, одобрило сделку, нарушившую его права.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Рыбченко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