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Дмитрия Юрьевича на нарушение его конституционных прав статьей 394 и пунктом 7 статьи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Наличие законодательно установленного срока, в пределах которого заинтересованные лица должны принять решение, обращаться ли в суд с заявлением о пересмотре вынесенного им судебного постановления по вновь открывшимся или новым обстоятельствам, не может рассматриваться как препятствие для реализации ими права на пересмотр вступившего в законную силу судебного постановления в порядке главы 42 ГПК Российской Федерации. 3 Вопреки утверждению заявителя, пункт 7 статьи 395 ГПК Российской Федерации, предусматривая начало исчисления установленного статьей 394 данного Кодекса трехмесячного срока на подачу заявления о пересмотре судебного постановления по вновь открывшимся или новым обстоятельствам со дня вступления в законную силу постановления Президиума Верховного Суда Российской Федерации, со дня опубликования постановления Пленума Верховного Суда Российской Федерации, неопределенности не содержит и не может рассматриваться как нарушающий его конституционные права, перечисленные в жалобе. Решение же поставленного в жалобе вопроса о необходимости иного исчисления указанного процессуального срока (со дня, когда лицо узнало о вступлении в законную силу постановления Президиума Верховного Суда Российской Федерации, определившего или изменившего практику применения правовой нормы)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