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374204-П/2018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Рудея Льва Леонидовича на нарушение его конституционных прав частью третьей статьи 15, частью второй статьи 252 и статьей 307 Уголовно-процессуального кодекса Российской Федерации и рядом положений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Л.Л.Рудея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доводы, приведенные Л.Л.Рудеем, а также заявленные им требования свидетельствуют о том, что, формально ставя вопрос о конституционности положений статей 15, 252 и 307 УПК Российской Федерации и статей 3, 5, 6, 7 и 60 УК Российской Федерации, направленных притом на защиту прав, свобод и охраняемых законом интересов лица, привлекаемого к уголовной ответственности, заявитель, по существу, предлагает Конституционному Суду Российской Федерации оценить правомерность конкретного судебного решения с учетом обстоятельств его дела, что, однако,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3 Федерации».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Рудея Льва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