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322137-П/2018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Тимонена Сергея Васильевича на нарушение его конституционных прав абзацем вторым пункта 3 статьи 65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С.В.Тимонена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было отказано в удовлетворении требований гражданина С.В.Тимонена об определении места жительства детей (близнецов А. и С.) с ним. Апелляционным определением суда апелляционной инстанции решение суда первой инстанции отменено, место жительства одного из детей определено с С.В.Тимоненом. Постановлением суда кассационной инстанции апелляционное определение отменено и решение суда первой инстанции оставлено в силе. При этом суд кассационной инстанции исходил из того, что близнецы А. и С. 2 с рождения проживают вместе и имеют сильную эмоциональную привязанность друг к другу, а потому их раздельное проживание нежелательно.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второй пункта 3 статьи 65 Семейного кодекса Российской Федерации, определяющий примерный перечень обстоятельств, подлежащих учету судом при решении вопроса об определении места жительства детей при раздельном проживании родителей, направлен на защиту прав и интересов детей, развивает положения статьи 38 (части 1 и 2) Конституции Российской Федерации и не препятствует определению места жительства детей как совместно с матерью, так и совместно с отцом (определения Конституционного Суда Российской Федерации от 19 февраля 2004 года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Тимонена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