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371541-П/2018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Ромаскевича Сергея Валерьевича на нарушение его конституционных прав частями первой и второй статьи 11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С.В.Ромаскевича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статей 96 и 97 Федерального конституционного закона «О Конституционном Суде Российской Федерации» гражданин вправе обратиться в Содержащиеся в части первой статьи 11 ГПК Российской Федерации положения, предписывающие суду разрешать гражданские дела на основании Конституции Российской Федерации, международных договоров Российской Федерации, федеральных конституционных законов, федеральных законов и иных нормативных правовых актов при рассмотрении дел и принятии решений, во взаимосвязи с другими предписаниями того же Кодекса в действующей системе правового регулирования не предполагают их произвольного 3 применения, направлены на обеспечение принятия судом законного и обоснованного решения, являются процессуальными гарантиями права на судебную защиту и, следовательно, не могут рассматриваться как нарушающие конституционные права заявителя, указанные в жалобе. Гарантией соблюдения судом указанных требований являются установленные Гражданским процессуальным кодексом Российской Федерации процедуры проверки судебных постановлений судами вышестоящих инстанций и основания для их отмены или изменения.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Ромаскевича Сергея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