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489447-П/2020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Равского Дмитрия Олеговича на нарушение его конституционных прав частью четвертой статьи 135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Д.О.Равского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Д.О.Равский, в чью пользу вынесено постановление судьи о возмещении имущественного вреда, причиненного в результате незаконного уголовного преследования, утверждает, что часть четвертая статьи 135 УПК Российской Федерации противоречит статье 53 Конституции Российской Федерации в той мере, в какой допускает умаление прав реабилитированного лица, поскольку не гарантирует ему полного возмещения имущественного вреда, позволяя произвольно рассчитывать сумму соответствующей выплаты с учетом уровня инфляции без привязки к конкретному региону – месту жительства этого лица.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135 УПК Российской Федерации, закрепляющая обязанность судьи не позднее одного месяца со дня поступления требования о возмещении имущественного вреда, причиненного незаконным или необоснованным уголовным преследованием, определить его размер и вынести постановление о производстве выплат в возмещение этого вреда, которое должно осуществляться с учетом уровня инфляции, направлена на защиту прав и законных интересов лиц, подвергшихся неправомерному уголовному преследованию (Постановление Конституционного Суда Российской Федерации от 17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Равского Дмитрия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