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328960-П/2018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Черновой Тамары Николаевны на нарушение ее конституционных прав абзацем третьим пункта 118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Т.Н.Черновой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гражданке Т.Н.Черновой было отказано в удовлетворении требований о признании незаконным начисления платы за коммунальные услуги и о взыскании компенсации морального вреда. Суд указал, что к возникновению задолженности и начислению пени привело ненадлежащее представление Т.Н.Черновой показаний индивидуальных приборов учета воды.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рассматриваемая в системной взаимосвязи с положениями Гражданского кодекса Российской Федерации об обязанности надлежащего исполнения обязательств (статья 309) и исполнении обязательства по частям (статья 311), а также частью 1 статьи 153 Жилищного кодекса Российской Федерации, согласно которой граждане и организации обязаны своевременно и полностью вносить плату за жилое помещение и коммунальные услуги, направлена на обеспечение баланса интересов потребителя и исполнителя, предоставляющего коммунальные услуги (Определение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Черновой Тамары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