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246428-П/2016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Немова Александра Сергеевича на нарушение его конституционных прав частью первой статьи 146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А.С.Немова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 допускает, по смыслу его статей 140 и 146, возбуждение уголовного дела публичного обвинения как по факту совершения преступления, так и в отношении конкретных лиц, если они к моменту принятия такого решения известны органам предварительного расследования. Как неоднократно отмечал Конституционный Суд Российской Федерации, положения Уголовно-процессуального кодекса Российской Федерации не содержат норм, позволяющих привлекать лицо к уголовной ответственности в связи с совершением им преступления, по признакам которого уголовное дело не возбуждалось; напротив, этот Кодекс предполагает необходимость соблюдения общих требований его статей 140, 146 и 153, в силу которых при наличии достаточных данных, указывающих на признаки преступления, должно быть вынесено постановление о возбуждении уголовного дела, отвечающее требованиям законности, обоснованности и мотивированности (часть четвертая статьи 7) (определения от 22 января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Немова Александра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