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350660-П/2018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Наплавкова Сергея Валерьевича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С.В.Наплавкова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ее статьи 46 и 47 (часть 1), гарантируя каждому право на судебную защиту и на рассмотрение его дела в том суде и тем судьей, к подсудности которого оно отнесено законом, не предусматривает право выбора гражданином по своему усмотрению любых способов и процедур судебной защиты. Согласно части первой статьи 125 УПК Российской Федерации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преступления; если место производства предварительного расследования определено в соответствии с частями второй – шестой статьи 152 этого Кодекса,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 3 Данная норма, устанавливая конкретный суд, уполномоченный на рассмотрение жалоб, не может расцениваться как нарушающая права заявителя в указанном в его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Наплавкова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