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442998-П/2019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Чурилова Сергея Петровича на нарушение его конституционных прав частью 1 статьи 3.8 и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С.П.Чурилова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С.П.Чурилов оспаривает конституционность следующих положений Кодекса Российской Федерации об административных правонарушениях: части 1 статьи 3.8, предусматривающей основания назначения административного наказания в виде лишения специального права; части 1 статьи 12.8, в соответствии с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2 лишением права управления транспортными средствами на срок от полутора до двух лет.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предусмотренного частью 1 статьи 12.8 КоАП Российской Федерации,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По мнению заявителя, применение оспариваемых законоположений приводит к тому, что граждане лишаются полученных в установленном порядке знаний и навыков по управлению транспортным средством. В связи с этим С.П.Чурилов просит признать указанные нормы не соответствующими статьям 1 (часть 1), 2, 17, 18, 19 (части 1 и 2), 23 (часть 1), 35 (части 1 и 2), 43 (часть 1)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3 Оспариваемые положения статей 3.8 и 12.8 КоАП Российской Федерации направлены на обеспечение безопасности дорожного движения, охрану прав и свобод граждан и осуществление борьбы с такими правонарушениями в области дорожного движения, которые создают угрозу жизни и здоровью граждан (определения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Чурилова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